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EC" w:rsidRDefault="004376EC" w:rsidP="004376EC">
      <w:pPr>
        <w:contextualSpacing/>
      </w:pPr>
      <w:r>
        <w:t>“</w:t>
      </w:r>
      <w:hyperlink r:id="rId6" w:history="1">
        <w:r w:rsidRPr="00940C8E">
          <w:rPr>
            <w:rStyle w:val="Hyperlink"/>
          </w:rPr>
          <w:t>Is HUD’s Disparate Impact Rule Unconstitutionally Vague?</w:t>
        </w:r>
      </w:hyperlink>
      <w:r>
        <w:t xml:space="preserve">,” </w:t>
      </w:r>
      <w:r w:rsidRPr="00D11F58">
        <w:t>American Banker</w:t>
      </w:r>
      <w:r>
        <w:rPr>
          <w:i/>
        </w:rPr>
        <w:t xml:space="preserve"> </w:t>
      </w:r>
      <w:r>
        <w:t>(Nov. 10, 2014)</w:t>
      </w:r>
    </w:p>
    <w:p w:rsidR="00403E6B" w:rsidRDefault="00403E6B" w:rsidP="004376EC">
      <w:pPr>
        <w:contextualSpacing/>
      </w:pPr>
    </w:p>
    <w:p w:rsidR="00403E6B" w:rsidRPr="0079372E" w:rsidRDefault="00403E6B" w:rsidP="00403E6B">
      <w:pPr>
        <w:contextualSpacing/>
        <w:jc w:val="center"/>
        <w:outlineLvl w:val="0"/>
      </w:pPr>
      <w:r>
        <w:rPr>
          <w:b/>
        </w:rPr>
        <w:t xml:space="preserve">“IS HUD’S DISPARATE IMPACT RULE UNCONSTITUATIONALLY VAGUE </w:t>
      </w:r>
    </w:p>
    <w:p w:rsidR="00403E6B" w:rsidRPr="00403E6B" w:rsidRDefault="00403E6B" w:rsidP="00403E6B">
      <w:pPr>
        <w:contextualSpacing/>
        <w:jc w:val="center"/>
        <w:outlineLvl w:val="0"/>
      </w:pPr>
      <w:r w:rsidRPr="0079372E">
        <w:rPr>
          <w:i/>
        </w:rPr>
        <w:t xml:space="preserve">American Banker, </w:t>
      </w:r>
      <w:r w:rsidRPr="00403E6B">
        <w:t>Nov. 10, 201</w:t>
      </w:r>
      <w:r w:rsidR="004B5A54">
        <w:t>4</w:t>
      </w:r>
    </w:p>
    <w:p w:rsidR="00403E6B" w:rsidRPr="004B5A54" w:rsidRDefault="00403E6B" w:rsidP="00403E6B">
      <w:pPr>
        <w:contextualSpacing/>
        <w:jc w:val="center"/>
        <w:outlineLvl w:val="0"/>
      </w:pPr>
      <w:r w:rsidRPr="0079372E">
        <w:t xml:space="preserve">Copyright © </w:t>
      </w:r>
      <w:r w:rsidRPr="004B5A54">
        <w:t>American Banker 201</w:t>
      </w:r>
      <w:r w:rsidR="004B5A54" w:rsidRPr="004B5A54">
        <w:t>4</w:t>
      </w:r>
    </w:p>
    <w:p w:rsidR="00403E6B" w:rsidRPr="00403E6B" w:rsidRDefault="00403E6B" w:rsidP="00403E6B">
      <w:pPr>
        <w:contextualSpacing/>
        <w:jc w:val="center"/>
        <w:outlineLvl w:val="0"/>
      </w:pPr>
      <w:r>
        <w:t>(reprinted with permission)</w:t>
      </w:r>
    </w:p>
    <w:p w:rsidR="006437F0" w:rsidRDefault="006437F0" w:rsidP="006437F0">
      <w:pPr>
        <w:pStyle w:val="NormalWeb"/>
      </w:pPr>
      <w:r>
        <w:t>For the third time in recent y</w:t>
      </w:r>
      <w:r w:rsidR="00403E6B">
        <w:t>e</w:t>
      </w:r>
      <w:r>
        <w:t xml:space="preserve">ars, the Supreme Court </w:t>
      </w:r>
      <w:hyperlink r:id="rId7" w:tgtFrame="_blank" w:history="1">
        <w:r>
          <w:rPr>
            <w:rStyle w:val="Hyperlink"/>
          </w:rPr>
          <w:t>has agreed</w:t>
        </w:r>
      </w:hyperlink>
      <w:r>
        <w:t xml:space="preserve"> to consider the question of whether the disparate impact doctrine is encompassed in the Fair Housing Act. Twice the cases were settled before the court could make a ruling. The issue has long been of great interest to lenders and varied other types of organizations whose activities are or might be covered by the FHA.</w:t>
      </w:r>
    </w:p>
    <w:p w:rsidR="006437F0" w:rsidRDefault="006437F0" w:rsidP="006437F0">
      <w:pPr>
        <w:pStyle w:val="NormalWeb"/>
      </w:pPr>
      <w:r>
        <w:t xml:space="preserve">The disparate impact doctrine holds that an organization may be found guilty of discrimination if its practices disproportionately disadvantage a protected group (even if the effect is unintentional) and it cannot provide a sound justification for the practice. The case slated to be heard by the court, </w:t>
      </w:r>
      <w:r>
        <w:rPr>
          <w:rStyle w:val="Emphasis"/>
        </w:rPr>
        <w:t xml:space="preserve">Texas Department of Housing and Community Affairs v. The Inclusive Communities Project, Inc., </w:t>
      </w:r>
      <w:r>
        <w:t>hardly involves a straightforward application of the concept.</w:t>
      </w:r>
    </w:p>
    <w:p w:rsidR="006437F0" w:rsidRDefault="006437F0" w:rsidP="006437F0">
      <w:pPr>
        <w:pStyle w:val="NormalWeb"/>
      </w:pPr>
      <w:r>
        <w:t>A fair housing group accused the Texas public housing authority of discrimination because it approved a higher proportion of low-income housing tax credit applications in areas that had very high minority representations than in areas with lower minority representations. The difference in approval rates allegedly contributed to a pattern of housing segregation. The challenged procedures would probably allow minorities to secure more low-income rental units, but fewer of those units would be available to them outside of predominantly minority areas.</w:t>
      </w:r>
    </w:p>
    <w:p w:rsidR="006437F0" w:rsidRDefault="006437F0" w:rsidP="006437F0">
      <w:pPr>
        <w:pStyle w:val="NormalWeb"/>
      </w:pPr>
      <w:r>
        <w:t xml:space="preserve">While that aspect of the matter may receive some attention, the court's decision about the general applicability of disparate impact to the FHA will likely turn on a different issue. The question is whether the court will find that the Department of Housing and Urban Development's </w:t>
      </w:r>
      <w:hyperlink r:id="rId8" w:tgtFrame="_blank" w:history="1">
        <w:r>
          <w:rPr>
            <w:rStyle w:val="Hyperlink"/>
          </w:rPr>
          <w:t>February 2013 rule</w:t>
        </w:r>
      </w:hyperlink>
      <w:r>
        <w:t xml:space="preserve"> applying the disparate impact doctrine to the FHA was a reasonable interpretation of the statute.</w:t>
      </w:r>
    </w:p>
    <w:p w:rsidR="006437F0" w:rsidRDefault="006437F0" w:rsidP="006437F0">
      <w:pPr>
        <w:pStyle w:val="NormalWeb"/>
      </w:pPr>
      <w:r>
        <w:t>The court will be urged to give great deference to the enforcing agency's interpretation of the statute, even if it would be inclined to reach a different result. But there are reasons why the court might not defer in this case, including the possibility that the FHA — as interpreted by HUD's rule — is too vague to withstand constitutional scrutiny.</w:t>
      </w:r>
    </w:p>
    <w:p w:rsidR="006437F0" w:rsidRDefault="006437F0" w:rsidP="006437F0">
      <w:pPr>
        <w:pStyle w:val="NormalWeb"/>
      </w:pPr>
      <w:r>
        <w:t>The principal vagueness problem rests not in the application of the disparate impact concept itself (though that concept is murky enough in many settings). Rather, the problem lies in the provision whereby an organization can be held liable even for a justified practice, if an alternative practice is available that equally serves the organization's interests while having "a less discriminatory effect."</w:t>
      </w:r>
    </w:p>
    <w:p w:rsidR="006437F0" w:rsidRDefault="006437F0" w:rsidP="006437F0">
      <w:pPr>
        <w:pStyle w:val="NormalWeb"/>
      </w:pPr>
      <w:r>
        <w:lastRenderedPageBreak/>
        <w:t>This provision requires organizations seeking to comply with the law to make judgments about what a less discriminatory alternative might be. This undertaking is complicated by the near-universal failure to understand a basic statistical pattern.</w:t>
      </w:r>
    </w:p>
    <w:p w:rsidR="006437F0" w:rsidRDefault="006437F0" w:rsidP="006437F0">
      <w:pPr>
        <w:pStyle w:val="NormalWeb"/>
      </w:pPr>
      <w:r>
        <w:t xml:space="preserve">Concerned about large relative (percentage) racial differences in areas like mortgage rejection rates, regulators have for two decades been encouraging lenders to relax lending criteria that adversely impact higher proportions of minority applicants than white applicants. Relaxing any standard — including a credit score or income requirement — will tend to reduce the size of relative differences between the rates at which minority applicants and white applicants meet the standard and have their applications approved. But relaxing the criteria will tend to </w:t>
      </w:r>
      <w:r>
        <w:rPr>
          <w:rStyle w:val="Emphasis"/>
        </w:rPr>
        <w:t>increase</w:t>
      </w:r>
      <w:r>
        <w:t xml:space="preserve"> the size of relative racial differences between the rates at which applicants fail to meet those standards and have their applications rejected. (For graphical illustrations with actual credit score or income data, see my March 4, 2013 </w:t>
      </w:r>
      <w:hyperlink r:id="rId9" w:tgtFrame="_blank" w:history="1">
        <w:r>
          <w:rPr>
            <w:rStyle w:val="Hyperlink"/>
          </w:rPr>
          <w:t>letter</w:t>
        </w:r>
      </w:hyperlink>
      <w:r>
        <w:t xml:space="preserve"> to the Federal Reserve Board and my Spring 2006 </w:t>
      </w:r>
      <w:r>
        <w:rPr>
          <w:rStyle w:val="Emphasis"/>
        </w:rPr>
        <w:t>Chance</w:t>
      </w:r>
      <w:r>
        <w:t xml:space="preserve"> magazine </w:t>
      </w:r>
      <w:hyperlink r:id="rId10" w:tgtFrame="_blank" w:history="1">
        <w:r>
          <w:rPr>
            <w:rStyle w:val="Hyperlink"/>
          </w:rPr>
          <w:t>editorial</w:t>
        </w:r>
      </w:hyperlink>
      <w:r>
        <w:t>.)</w:t>
      </w:r>
    </w:p>
    <w:p w:rsidR="006437F0" w:rsidRDefault="006437F0" w:rsidP="006437F0">
      <w:pPr>
        <w:pStyle w:val="NormalWeb"/>
      </w:pPr>
      <w:r>
        <w:t>Unaware of the latter part of the picture, regulators have continued to monitor the fairness of lending practices on the basis of relative differences in adverse outcomes — e.g., loan denial rates. Thus, when lenders comply with encouragements to relax certain requirements, they increase the chances that the government will accuse them of discrimination.</w:t>
      </w:r>
    </w:p>
    <w:p w:rsidR="00BC34CA" w:rsidRDefault="00BC34CA" w:rsidP="00B7248B"/>
    <w:p w:rsidR="00BC34CA" w:rsidRPr="00B7248B" w:rsidRDefault="00BC34CA" w:rsidP="00B7248B"/>
    <w:sectPr w:rsidR="00BC34CA" w:rsidRPr="00B7248B" w:rsidSect="00A136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7F17"/>
    <w:multiLevelType w:val="multilevel"/>
    <w:tmpl w:val="E25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B30240"/>
    <w:multiLevelType w:val="multilevel"/>
    <w:tmpl w:val="EB3A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D46700"/>
    <w:rsid w:val="000161BD"/>
    <w:rsid w:val="0004042F"/>
    <w:rsid w:val="00041752"/>
    <w:rsid w:val="00054444"/>
    <w:rsid w:val="00054B7B"/>
    <w:rsid w:val="00057D46"/>
    <w:rsid w:val="00060381"/>
    <w:rsid w:val="00067117"/>
    <w:rsid w:val="00071425"/>
    <w:rsid w:val="00071DA3"/>
    <w:rsid w:val="00085489"/>
    <w:rsid w:val="0009760A"/>
    <w:rsid w:val="000A2449"/>
    <w:rsid w:val="000A56A2"/>
    <w:rsid w:val="000B0BFB"/>
    <w:rsid w:val="000B514A"/>
    <w:rsid w:val="000E18EC"/>
    <w:rsid w:val="000E1DAE"/>
    <w:rsid w:val="000F0C3F"/>
    <w:rsid w:val="001010D4"/>
    <w:rsid w:val="0010183E"/>
    <w:rsid w:val="00110EAD"/>
    <w:rsid w:val="00123498"/>
    <w:rsid w:val="00130BAF"/>
    <w:rsid w:val="001345AB"/>
    <w:rsid w:val="00141E6C"/>
    <w:rsid w:val="001427F6"/>
    <w:rsid w:val="00147334"/>
    <w:rsid w:val="00163D76"/>
    <w:rsid w:val="001755F4"/>
    <w:rsid w:val="00180826"/>
    <w:rsid w:val="001941B5"/>
    <w:rsid w:val="001A4CAD"/>
    <w:rsid w:val="001A4E9C"/>
    <w:rsid w:val="001B04E6"/>
    <w:rsid w:val="001C40FA"/>
    <w:rsid w:val="001C6134"/>
    <w:rsid w:val="001E3278"/>
    <w:rsid w:val="001E544B"/>
    <w:rsid w:val="001E5B89"/>
    <w:rsid w:val="001F2C7F"/>
    <w:rsid w:val="00200B6B"/>
    <w:rsid w:val="002107B3"/>
    <w:rsid w:val="00212EF5"/>
    <w:rsid w:val="00226D00"/>
    <w:rsid w:val="00227E85"/>
    <w:rsid w:val="00251A69"/>
    <w:rsid w:val="0025362F"/>
    <w:rsid w:val="00256319"/>
    <w:rsid w:val="002651BE"/>
    <w:rsid w:val="00272EC6"/>
    <w:rsid w:val="0028147C"/>
    <w:rsid w:val="00283CEA"/>
    <w:rsid w:val="0028663F"/>
    <w:rsid w:val="00294B99"/>
    <w:rsid w:val="002A7C54"/>
    <w:rsid w:val="002B23EC"/>
    <w:rsid w:val="002B3E6E"/>
    <w:rsid w:val="002C4EB3"/>
    <w:rsid w:val="002D669C"/>
    <w:rsid w:val="002D7D74"/>
    <w:rsid w:val="002E0740"/>
    <w:rsid w:val="002E1039"/>
    <w:rsid w:val="002F1739"/>
    <w:rsid w:val="002F26CA"/>
    <w:rsid w:val="00306AB2"/>
    <w:rsid w:val="00315618"/>
    <w:rsid w:val="003232E7"/>
    <w:rsid w:val="00327759"/>
    <w:rsid w:val="003313CA"/>
    <w:rsid w:val="00340D78"/>
    <w:rsid w:val="00344375"/>
    <w:rsid w:val="00350363"/>
    <w:rsid w:val="003504CB"/>
    <w:rsid w:val="00387508"/>
    <w:rsid w:val="00390264"/>
    <w:rsid w:val="00395610"/>
    <w:rsid w:val="0039628B"/>
    <w:rsid w:val="0039725B"/>
    <w:rsid w:val="003A344A"/>
    <w:rsid w:val="003C5725"/>
    <w:rsid w:val="003C67A2"/>
    <w:rsid w:val="003C6D6E"/>
    <w:rsid w:val="003E1B1F"/>
    <w:rsid w:val="003E33EE"/>
    <w:rsid w:val="003F2193"/>
    <w:rsid w:val="003F6B1A"/>
    <w:rsid w:val="00402786"/>
    <w:rsid w:val="00403E6B"/>
    <w:rsid w:val="00406CB5"/>
    <w:rsid w:val="00421349"/>
    <w:rsid w:val="00425711"/>
    <w:rsid w:val="0043164F"/>
    <w:rsid w:val="00434CD7"/>
    <w:rsid w:val="004376EC"/>
    <w:rsid w:val="004425B7"/>
    <w:rsid w:val="00447F40"/>
    <w:rsid w:val="0045022C"/>
    <w:rsid w:val="00453BE8"/>
    <w:rsid w:val="00462F4F"/>
    <w:rsid w:val="00466276"/>
    <w:rsid w:val="00467889"/>
    <w:rsid w:val="00480EAD"/>
    <w:rsid w:val="004874FD"/>
    <w:rsid w:val="004A11DC"/>
    <w:rsid w:val="004B5A54"/>
    <w:rsid w:val="004D105E"/>
    <w:rsid w:val="004D21F0"/>
    <w:rsid w:val="004E1133"/>
    <w:rsid w:val="004F54F2"/>
    <w:rsid w:val="005036DD"/>
    <w:rsid w:val="00520D61"/>
    <w:rsid w:val="0052683C"/>
    <w:rsid w:val="00532435"/>
    <w:rsid w:val="00533519"/>
    <w:rsid w:val="0054365F"/>
    <w:rsid w:val="00553772"/>
    <w:rsid w:val="00555DF3"/>
    <w:rsid w:val="00557A88"/>
    <w:rsid w:val="00560D87"/>
    <w:rsid w:val="0057102D"/>
    <w:rsid w:val="00580254"/>
    <w:rsid w:val="00582AD6"/>
    <w:rsid w:val="005845B5"/>
    <w:rsid w:val="00593D7D"/>
    <w:rsid w:val="005B06D7"/>
    <w:rsid w:val="005B418B"/>
    <w:rsid w:val="005C55A0"/>
    <w:rsid w:val="005D57AB"/>
    <w:rsid w:val="005D655D"/>
    <w:rsid w:val="005E2A07"/>
    <w:rsid w:val="005E2A6B"/>
    <w:rsid w:val="005E7B6F"/>
    <w:rsid w:val="005F0AF8"/>
    <w:rsid w:val="005F2255"/>
    <w:rsid w:val="00601A1E"/>
    <w:rsid w:val="00601AF4"/>
    <w:rsid w:val="00602600"/>
    <w:rsid w:val="00631AC9"/>
    <w:rsid w:val="00635A8B"/>
    <w:rsid w:val="00636704"/>
    <w:rsid w:val="00642E30"/>
    <w:rsid w:val="006437F0"/>
    <w:rsid w:val="0064596C"/>
    <w:rsid w:val="0065328B"/>
    <w:rsid w:val="00653890"/>
    <w:rsid w:val="00655932"/>
    <w:rsid w:val="006630C1"/>
    <w:rsid w:val="00664693"/>
    <w:rsid w:val="006662D2"/>
    <w:rsid w:val="006739D5"/>
    <w:rsid w:val="006B3A0D"/>
    <w:rsid w:val="006B6C4C"/>
    <w:rsid w:val="006E0077"/>
    <w:rsid w:val="006F0E80"/>
    <w:rsid w:val="006F2F50"/>
    <w:rsid w:val="007076A7"/>
    <w:rsid w:val="00716CE0"/>
    <w:rsid w:val="0074112B"/>
    <w:rsid w:val="00741396"/>
    <w:rsid w:val="00741F40"/>
    <w:rsid w:val="007450C6"/>
    <w:rsid w:val="00760CA2"/>
    <w:rsid w:val="00766CB7"/>
    <w:rsid w:val="007C09EC"/>
    <w:rsid w:val="007C50F7"/>
    <w:rsid w:val="007D7A5F"/>
    <w:rsid w:val="00802D0B"/>
    <w:rsid w:val="008055F9"/>
    <w:rsid w:val="00810F26"/>
    <w:rsid w:val="00812F25"/>
    <w:rsid w:val="008166A7"/>
    <w:rsid w:val="00816AB0"/>
    <w:rsid w:val="00820A95"/>
    <w:rsid w:val="0083321D"/>
    <w:rsid w:val="0084706F"/>
    <w:rsid w:val="00855A23"/>
    <w:rsid w:val="00864B8F"/>
    <w:rsid w:val="00884701"/>
    <w:rsid w:val="008909BA"/>
    <w:rsid w:val="008A6098"/>
    <w:rsid w:val="008B34F9"/>
    <w:rsid w:val="008C0357"/>
    <w:rsid w:val="008C42FA"/>
    <w:rsid w:val="008C51BC"/>
    <w:rsid w:val="008C5622"/>
    <w:rsid w:val="008D21D4"/>
    <w:rsid w:val="008E590E"/>
    <w:rsid w:val="008F158F"/>
    <w:rsid w:val="008F3929"/>
    <w:rsid w:val="00901C0B"/>
    <w:rsid w:val="00914AC3"/>
    <w:rsid w:val="00942297"/>
    <w:rsid w:val="0095228C"/>
    <w:rsid w:val="00955108"/>
    <w:rsid w:val="00963989"/>
    <w:rsid w:val="00972D17"/>
    <w:rsid w:val="009862DC"/>
    <w:rsid w:val="0098750B"/>
    <w:rsid w:val="009C58E5"/>
    <w:rsid w:val="009D49DD"/>
    <w:rsid w:val="009E2C4A"/>
    <w:rsid w:val="009E4981"/>
    <w:rsid w:val="009F269D"/>
    <w:rsid w:val="009F2907"/>
    <w:rsid w:val="00A0230F"/>
    <w:rsid w:val="00A1361F"/>
    <w:rsid w:val="00A13C17"/>
    <w:rsid w:val="00A24AAA"/>
    <w:rsid w:val="00A261B4"/>
    <w:rsid w:val="00A27DA4"/>
    <w:rsid w:val="00A34B27"/>
    <w:rsid w:val="00A3711D"/>
    <w:rsid w:val="00A55BDC"/>
    <w:rsid w:val="00A57A4B"/>
    <w:rsid w:val="00A6154B"/>
    <w:rsid w:val="00A6319E"/>
    <w:rsid w:val="00A761A3"/>
    <w:rsid w:val="00A76E0D"/>
    <w:rsid w:val="00A8562C"/>
    <w:rsid w:val="00A859E7"/>
    <w:rsid w:val="00A95103"/>
    <w:rsid w:val="00AA5056"/>
    <w:rsid w:val="00AD0EEF"/>
    <w:rsid w:val="00AD1F5D"/>
    <w:rsid w:val="00AD23B2"/>
    <w:rsid w:val="00AF6A4B"/>
    <w:rsid w:val="00AF78AC"/>
    <w:rsid w:val="00B21084"/>
    <w:rsid w:val="00B51EC2"/>
    <w:rsid w:val="00B668D0"/>
    <w:rsid w:val="00B7107F"/>
    <w:rsid w:val="00B7248B"/>
    <w:rsid w:val="00B85215"/>
    <w:rsid w:val="00B86F4B"/>
    <w:rsid w:val="00BA6C76"/>
    <w:rsid w:val="00BC34CA"/>
    <w:rsid w:val="00BE07BB"/>
    <w:rsid w:val="00BE3F7C"/>
    <w:rsid w:val="00C221E5"/>
    <w:rsid w:val="00C25891"/>
    <w:rsid w:val="00C36A93"/>
    <w:rsid w:val="00C611F0"/>
    <w:rsid w:val="00C61C6D"/>
    <w:rsid w:val="00C62B65"/>
    <w:rsid w:val="00C67E5D"/>
    <w:rsid w:val="00C71566"/>
    <w:rsid w:val="00C72416"/>
    <w:rsid w:val="00C77535"/>
    <w:rsid w:val="00C80060"/>
    <w:rsid w:val="00C8374F"/>
    <w:rsid w:val="00C8726B"/>
    <w:rsid w:val="00CB78E1"/>
    <w:rsid w:val="00CB7D96"/>
    <w:rsid w:val="00CE2D25"/>
    <w:rsid w:val="00CE40E5"/>
    <w:rsid w:val="00CE7C05"/>
    <w:rsid w:val="00CE7FFB"/>
    <w:rsid w:val="00D05D99"/>
    <w:rsid w:val="00D06534"/>
    <w:rsid w:val="00D14276"/>
    <w:rsid w:val="00D15EB5"/>
    <w:rsid w:val="00D16B4E"/>
    <w:rsid w:val="00D26CCD"/>
    <w:rsid w:val="00D32BF1"/>
    <w:rsid w:val="00D46700"/>
    <w:rsid w:val="00D56A6F"/>
    <w:rsid w:val="00D64349"/>
    <w:rsid w:val="00DA0BA5"/>
    <w:rsid w:val="00DA2DB3"/>
    <w:rsid w:val="00DA6DE2"/>
    <w:rsid w:val="00DB1457"/>
    <w:rsid w:val="00DB2178"/>
    <w:rsid w:val="00DB2DEB"/>
    <w:rsid w:val="00DC100C"/>
    <w:rsid w:val="00DC4063"/>
    <w:rsid w:val="00DE4A16"/>
    <w:rsid w:val="00DE5FAD"/>
    <w:rsid w:val="00DE7967"/>
    <w:rsid w:val="00DF6451"/>
    <w:rsid w:val="00E05941"/>
    <w:rsid w:val="00E10EB4"/>
    <w:rsid w:val="00E144F0"/>
    <w:rsid w:val="00E1534B"/>
    <w:rsid w:val="00E17757"/>
    <w:rsid w:val="00E33A65"/>
    <w:rsid w:val="00E36A01"/>
    <w:rsid w:val="00E430F3"/>
    <w:rsid w:val="00E5510E"/>
    <w:rsid w:val="00E8070A"/>
    <w:rsid w:val="00E96069"/>
    <w:rsid w:val="00EA10E5"/>
    <w:rsid w:val="00EB59F3"/>
    <w:rsid w:val="00EB70A6"/>
    <w:rsid w:val="00EB7AF2"/>
    <w:rsid w:val="00EB7B72"/>
    <w:rsid w:val="00ED2663"/>
    <w:rsid w:val="00EE298E"/>
    <w:rsid w:val="00EE682E"/>
    <w:rsid w:val="00EF0A7F"/>
    <w:rsid w:val="00EF0ABC"/>
    <w:rsid w:val="00EF4C9B"/>
    <w:rsid w:val="00F100F5"/>
    <w:rsid w:val="00F4560F"/>
    <w:rsid w:val="00F55860"/>
    <w:rsid w:val="00F603E7"/>
    <w:rsid w:val="00F67F26"/>
    <w:rsid w:val="00F74D8E"/>
    <w:rsid w:val="00F80AB3"/>
    <w:rsid w:val="00F8160A"/>
    <w:rsid w:val="00F86912"/>
    <w:rsid w:val="00F96D15"/>
    <w:rsid w:val="00F972B4"/>
    <w:rsid w:val="00FA20F7"/>
    <w:rsid w:val="00FA3883"/>
    <w:rsid w:val="00FA7EF0"/>
    <w:rsid w:val="00FF18DF"/>
    <w:rsid w:val="00FF4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7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700"/>
    <w:rPr>
      <w:color w:val="0000FF"/>
      <w:u w:val="single"/>
    </w:rPr>
  </w:style>
  <w:style w:type="paragraph" w:styleId="NormalWeb">
    <w:name w:val="Normal (Web)"/>
    <w:basedOn w:val="Normal"/>
    <w:uiPriority w:val="99"/>
    <w:semiHidden/>
    <w:unhideWhenUsed/>
    <w:rsid w:val="0010183E"/>
    <w:pPr>
      <w:spacing w:before="100" w:beforeAutospacing="1" w:after="100" w:afterAutospacing="1"/>
    </w:pPr>
  </w:style>
  <w:style w:type="paragraph" w:styleId="HTMLAddress">
    <w:name w:val="HTML Address"/>
    <w:basedOn w:val="Normal"/>
    <w:link w:val="HTMLAddressChar"/>
    <w:uiPriority w:val="99"/>
    <w:semiHidden/>
    <w:unhideWhenUsed/>
    <w:rsid w:val="0010183E"/>
    <w:rPr>
      <w:i/>
      <w:iCs/>
    </w:rPr>
  </w:style>
  <w:style w:type="character" w:customStyle="1" w:styleId="HTMLAddressChar">
    <w:name w:val="HTML Address Char"/>
    <w:basedOn w:val="DefaultParagraphFont"/>
    <w:link w:val="HTMLAddress"/>
    <w:uiPriority w:val="99"/>
    <w:semiHidden/>
    <w:rsid w:val="0010183E"/>
    <w:rPr>
      <w:rFonts w:eastAsia="Times New Roman" w:cs="Times New Roman"/>
      <w:i/>
      <w:iCs/>
      <w:szCs w:val="24"/>
    </w:rPr>
  </w:style>
  <w:style w:type="character" w:customStyle="1" w:styleId="name">
    <w:name w:val="name"/>
    <w:basedOn w:val="DefaultParagraphFont"/>
    <w:rsid w:val="0010183E"/>
  </w:style>
  <w:style w:type="character" w:customStyle="1" w:styleId="contrib-degrees">
    <w:name w:val="contrib-degrees"/>
    <w:basedOn w:val="DefaultParagraphFont"/>
    <w:rsid w:val="0010183E"/>
  </w:style>
  <w:style w:type="character" w:customStyle="1" w:styleId="collab">
    <w:name w:val="collab"/>
    <w:basedOn w:val="DefaultParagraphFont"/>
    <w:rsid w:val="0010183E"/>
  </w:style>
  <w:style w:type="character" w:customStyle="1" w:styleId="apple-converted-space">
    <w:name w:val="apple-converted-space"/>
    <w:basedOn w:val="DefaultParagraphFont"/>
    <w:rsid w:val="00D14276"/>
  </w:style>
  <w:style w:type="character" w:customStyle="1" w:styleId="email">
    <w:name w:val="email"/>
    <w:basedOn w:val="DefaultParagraphFont"/>
    <w:rsid w:val="002B3E6E"/>
  </w:style>
  <w:style w:type="paragraph" w:customStyle="1" w:styleId="Recipient">
    <w:name w:val="Recipient"/>
    <w:basedOn w:val="Normal"/>
    <w:rsid w:val="00E430F3"/>
  </w:style>
  <w:style w:type="character" w:styleId="Emphasis">
    <w:name w:val="Emphasis"/>
    <w:basedOn w:val="DefaultParagraphFont"/>
    <w:uiPriority w:val="20"/>
    <w:qFormat/>
    <w:rsid w:val="006437F0"/>
    <w:rPr>
      <w:i/>
      <w:iCs/>
    </w:rPr>
  </w:style>
</w:styles>
</file>

<file path=word/webSettings.xml><?xml version="1.0" encoding="utf-8"?>
<w:webSettings xmlns:r="http://schemas.openxmlformats.org/officeDocument/2006/relationships" xmlns:w="http://schemas.openxmlformats.org/wordprocessingml/2006/main">
  <w:divs>
    <w:div w:id="158934350">
      <w:bodyDiv w:val="1"/>
      <w:marLeft w:val="0"/>
      <w:marRight w:val="0"/>
      <w:marTop w:val="0"/>
      <w:marBottom w:val="0"/>
      <w:divBdr>
        <w:top w:val="none" w:sz="0" w:space="0" w:color="auto"/>
        <w:left w:val="none" w:sz="0" w:space="0" w:color="auto"/>
        <w:bottom w:val="none" w:sz="0" w:space="0" w:color="auto"/>
        <w:right w:val="none" w:sz="0" w:space="0" w:color="auto"/>
      </w:divBdr>
    </w:div>
    <w:div w:id="329021592">
      <w:bodyDiv w:val="1"/>
      <w:marLeft w:val="0"/>
      <w:marRight w:val="0"/>
      <w:marTop w:val="0"/>
      <w:marBottom w:val="0"/>
      <w:divBdr>
        <w:top w:val="none" w:sz="0" w:space="0" w:color="auto"/>
        <w:left w:val="none" w:sz="0" w:space="0" w:color="auto"/>
        <w:bottom w:val="none" w:sz="0" w:space="0" w:color="auto"/>
        <w:right w:val="none" w:sz="0" w:space="0" w:color="auto"/>
      </w:divBdr>
      <w:divsChild>
        <w:div w:id="293603622">
          <w:marLeft w:val="0"/>
          <w:marRight w:val="0"/>
          <w:marTop w:val="0"/>
          <w:marBottom w:val="0"/>
          <w:divBdr>
            <w:top w:val="none" w:sz="0" w:space="0" w:color="auto"/>
            <w:left w:val="none" w:sz="0" w:space="0" w:color="auto"/>
            <w:bottom w:val="none" w:sz="0" w:space="0" w:color="auto"/>
            <w:right w:val="none" w:sz="0" w:space="0" w:color="auto"/>
          </w:divBdr>
          <w:divsChild>
            <w:div w:id="822311992">
              <w:marLeft w:val="0"/>
              <w:marRight w:val="0"/>
              <w:marTop w:val="0"/>
              <w:marBottom w:val="0"/>
              <w:divBdr>
                <w:top w:val="none" w:sz="0" w:space="0" w:color="auto"/>
                <w:left w:val="none" w:sz="0" w:space="0" w:color="auto"/>
                <w:bottom w:val="none" w:sz="0" w:space="0" w:color="auto"/>
                <w:right w:val="none" w:sz="0" w:space="0" w:color="auto"/>
              </w:divBdr>
              <w:divsChild>
                <w:div w:id="1810704501">
                  <w:marLeft w:val="0"/>
                  <w:marRight w:val="0"/>
                  <w:marTop w:val="0"/>
                  <w:marBottom w:val="0"/>
                  <w:divBdr>
                    <w:top w:val="none" w:sz="0" w:space="0" w:color="auto"/>
                    <w:left w:val="none" w:sz="0" w:space="0" w:color="auto"/>
                    <w:bottom w:val="none" w:sz="0" w:space="0" w:color="auto"/>
                    <w:right w:val="none" w:sz="0" w:space="0" w:color="auto"/>
                  </w:divBdr>
                  <w:divsChild>
                    <w:div w:id="1729769591">
                      <w:marLeft w:val="0"/>
                      <w:marRight w:val="0"/>
                      <w:marTop w:val="0"/>
                      <w:marBottom w:val="0"/>
                      <w:divBdr>
                        <w:top w:val="none" w:sz="0" w:space="0" w:color="auto"/>
                        <w:left w:val="none" w:sz="0" w:space="0" w:color="auto"/>
                        <w:bottom w:val="none" w:sz="0" w:space="0" w:color="auto"/>
                        <w:right w:val="none" w:sz="0" w:space="0" w:color="auto"/>
                      </w:divBdr>
                      <w:divsChild>
                        <w:div w:id="10685196">
                          <w:marLeft w:val="0"/>
                          <w:marRight w:val="0"/>
                          <w:marTop w:val="0"/>
                          <w:marBottom w:val="0"/>
                          <w:divBdr>
                            <w:top w:val="none" w:sz="0" w:space="0" w:color="auto"/>
                            <w:left w:val="none" w:sz="0" w:space="0" w:color="auto"/>
                            <w:bottom w:val="none" w:sz="0" w:space="0" w:color="auto"/>
                            <w:right w:val="none" w:sz="0" w:space="0" w:color="auto"/>
                          </w:divBdr>
                          <w:divsChild>
                            <w:div w:id="804398733">
                              <w:marLeft w:val="0"/>
                              <w:marRight w:val="0"/>
                              <w:marTop w:val="0"/>
                              <w:marBottom w:val="0"/>
                              <w:divBdr>
                                <w:top w:val="none" w:sz="0" w:space="0" w:color="auto"/>
                                <w:left w:val="none" w:sz="0" w:space="0" w:color="auto"/>
                                <w:bottom w:val="none" w:sz="0" w:space="0" w:color="auto"/>
                                <w:right w:val="none" w:sz="0" w:space="0" w:color="auto"/>
                              </w:divBdr>
                              <w:divsChild>
                                <w:div w:id="878007967">
                                  <w:marLeft w:val="0"/>
                                  <w:marRight w:val="0"/>
                                  <w:marTop w:val="0"/>
                                  <w:marBottom w:val="0"/>
                                  <w:divBdr>
                                    <w:top w:val="none" w:sz="0" w:space="0" w:color="auto"/>
                                    <w:left w:val="none" w:sz="0" w:space="0" w:color="auto"/>
                                    <w:bottom w:val="none" w:sz="0" w:space="0" w:color="auto"/>
                                    <w:right w:val="none" w:sz="0" w:space="0" w:color="auto"/>
                                  </w:divBdr>
                                  <w:divsChild>
                                    <w:div w:id="20681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869828">
      <w:bodyDiv w:val="1"/>
      <w:marLeft w:val="0"/>
      <w:marRight w:val="0"/>
      <w:marTop w:val="0"/>
      <w:marBottom w:val="0"/>
      <w:divBdr>
        <w:top w:val="none" w:sz="0" w:space="0" w:color="auto"/>
        <w:left w:val="none" w:sz="0" w:space="0" w:color="auto"/>
        <w:bottom w:val="none" w:sz="0" w:space="0" w:color="auto"/>
        <w:right w:val="none" w:sz="0" w:space="0" w:color="auto"/>
      </w:divBdr>
    </w:div>
    <w:div w:id="920069552">
      <w:bodyDiv w:val="1"/>
      <w:marLeft w:val="0"/>
      <w:marRight w:val="0"/>
      <w:marTop w:val="0"/>
      <w:marBottom w:val="0"/>
      <w:divBdr>
        <w:top w:val="none" w:sz="0" w:space="0" w:color="auto"/>
        <w:left w:val="none" w:sz="0" w:space="0" w:color="auto"/>
        <w:bottom w:val="none" w:sz="0" w:space="0" w:color="auto"/>
        <w:right w:val="none" w:sz="0" w:space="0" w:color="auto"/>
      </w:divBdr>
      <w:divsChild>
        <w:div w:id="715155595">
          <w:marLeft w:val="0"/>
          <w:marRight w:val="0"/>
          <w:marTop w:val="0"/>
          <w:marBottom w:val="0"/>
          <w:divBdr>
            <w:top w:val="none" w:sz="0" w:space="0" w:color="auto"/>
            <w:left w:val="none" w:sz="0" w:space="0" w:color="auto"/>
            <w:bottom w:val="none" w:sz="0" w:space="0" w:color="auto"/>
            <w:right w:val="none" w:sz="0" w:space="0" w:color="auto"/>
          </w:divBdr>
          <w:divsChild>
            <w:div w:id="1182891878">
              <w:marLeft w:val="0"/>
              <w:marRight w:val="0"/>
              <w:marTop w:val="0"/>
              <w:marBottom w:val="0"/>
              <w:divBdr>
                <w:top w:val="none" w:sz="0" w:space="0" w:color="auto"/>
                <w:left w:val="none" w:sz="0" w:space="0" w:color="auto"/>
                <w:bottom w:val="none" w:sz="0" w:space="0" w:color="auto"/>
                <w:right w:val="none" w:sz="0" w:space="0" w:color="auto"/>
              </w:divBdr>
              <w:divsChild>
                <w:div w:id="213320005">
                  <w:marLeft w:val="0"/>
                  <w:marRight w:val="0"/>
                  <w:marTop w:val="0"/>
                  <w:marBottom w:val="0"/>
                  <w:divBdr>
                    <w:top w:val="none" w:sz="0" w:space="0" w:color="auto"/>
                    <w:left w:val="none" w:sz="0" w:space="0" w:color="auto"/>
                    <w:bottom w:val="none" w:sz="0" w:space="0" w:color="auto"/>
                    <w:right w:val="none" w:sz="0" w:space="0" w:color="auto"/>
                  </w:divBdr>
                  <w:divsChild>
                    <w:div w:id="666789448">
                      <w:marLeft w:val="0"/>
                      <w:marRight w:val="0"/>
                      <w:marTop w:val="0"/>
                      <w:marBottom w:val="0"/>
                      <w:divBdr>
                        <w:top w:val="none" w:sz="0" w:space="0" w:color="auto"/>
                        <w:left w:val="none" w:sz="0" w:space="0" w:color="auto"/>
                        <w:bottom w:val="none" w:sz="0" w:space="0" w:color="auto"/>
                        <w:right w:val="none" w:sz="0" w:space="0" w:color="auto"/>
                      </w:divBdr>
                      <w:divsChild>
                        <w:div w:id="15254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56255">
      <w:bodyDiv w:val="1"/>
      <w:marLeft w:val="0"/>
      <w:marRight w:val="0"/>
      <w:marTop w:val="0"/>
      <w:marBottom w:val="0"/>
      <w:divBdr>
        <w:top w:val="none" w:sz="0" w:space="0" w:color="auto"/>
        <w:left w:val="none" w:sz="0" w:space="0" w:color="auto"/>
        <w:bottom w:val="none" w:sz="0" w:space="0" w:color="auto"/>
        <w:right w:val="none" w:sz="0" w:space="0" w:color="auto"/>
      </w:divBdr>
    </w:div>
    <w:div w:id="1193692960">
      <w:bodyDiv w:val="1"/>
      <w:marLeft w:val="0"/>
      <w:marRight w:val="0"/>
      <w:marTop w:val="0"/>
      <w:marBottom w:val="0"/>
      <w:divBdr>
        <w:top w:val="none" w:sz="0" w:space="0" w:color="auto"/>
        <w:left w:val="none" w:sz="0" w:space="0" w:color="auto"/>
        <w:bottom w:val="none" w:sz="0" w:space="0" w:color="auto"/>
        <w:right w:val="none" w:sz="0" w:space="0" w:color="auto"/>
      </w:divBdr>
      <w:divsChild>
        <w:div w:id="1762411099">
          <w:marLeft w:val="0"/>
          <w:marRight w:val="0"/>
          <w:marTop w:val="0"/>
          <w:marBottom w:val="0"/>
          <w:divBdr>
            <w:top w:val="none" w:sz="0" w:space="0" w:color="auto"/>
            <w:left w:val="none" w:sz="0" w:space="0" w:color="auto"/>
            <w:bottom w:val="none" w:sz="0" w:space="0" w:color="auto"/>
            <w:right w:val="none" w:sz="0" w:space="0" w:color="auto"/>
          </w:divBdr>
          <w:divsChild>
            <w:div w:id="364867194">
              <w:marLeft w:val="0"/>
              <w:marRight w:val="0"/>
              <w:marTop w:val="0"/>
              <w:marBottom w:val="0"/>
              <w:divBdr>
                <w:top w:val="none" w:sz="0" w:space="0" w:color="auto"/>
                <w:left w:val="none" w:sz="0" w:space="0" w:color="auto"/>
                <w:bottom w:val="none" w:sz="0" w:space="0" w:color="auto"/>
                <w:right w:val="none" w:sz="0" w:space="0" w:color="auto"/>
              </w:divBdr>
              <w:divsChild>
                <w:div w:id="429084074">
                  <w:marLeft w:val="0"/>
                  <w:marRight w:val="0"/>
                  <w:marTop w:val="0"/>
                  <w:marBottom w:val="0"/>
                  <w:divBdr>
                    <w:top w:val="none" w:sz="0" w:space="0" w:color="auto"/>
                    <w:left w:val="none" w:sz="0" w:space="0" w:color="auto"/>
                    <w:bottom w:val="none" w:sz="0" w:space="0" w:color="auto"/>
                    <w:right w:val="none" w:sz="0" w:space="0" w:color="auto"/>
                  </w:divBdr>
                  <w:divsChild>
                    <w:div w:id="586039815">
                      <w:marLeft w:val="0"/>
                      <w:marRight w:val="0"/>
                      <w:marTop w:val="0"/>
                      <w:marBottom w:val="0"/>
                      <w:divBdr>
                        <w:top w:val="none" w:sz="0" w:space="0" w:color="auto"/>
                        <w:left w:val="none" w:sz="0" w:space="0" w:color="auto"/>
                        <w:bottom w:val="none" w:sz="0" w:space="0" w:color="auto"/>
                        <w:right w:val="none" w:sz="0" w:space="0" w:color="auto"/>
                      </w:divBdr>
                      <w:divsChild>
                        <w:div w:id="1982298445">
                          <w:marLeft w:val="0"/>
                          <w:marRight w:val="0"/>
                          <w:marTop w:val="0"/>
                          <w:marBottom w:val="0"/>
                          <w:divBdr>
                            <w:top w:val="none" w:sz="0" w:space="0" w:color="auto"/>
                            <w:left w:val="none" w:sz="0" w:space="0" w:color="auto"/>
                            <w:bottom w:val="none" w:sz="0" w:space="0" w:color="auto"/>
                            <w:right w:val="none" w:sz="0" w:space="0" w:color="auto"/>
                          </w:divBdr>
                          <w:divsChild>
                            <w:div w:id="110515072">
                              <w:marLeft w:val="0"/>
                              <w:marRight w:val="0"/>
                              <w:marTop w:val="0"/>
                              <w:marBottom w:val="0"/>
                              <w:divBdr>
                                <w:top w:val="none" w:sz="0" w:space="0" w:color="auto"/>
                                <w:left w:val="none" w:sz="0" w:space="0" w:color="auto"/>
                                <w:bottom w:val="none" w:sz="0" w:space="0" w:color="auto"/>
                                <w:right w:val="none" w:sz="0" w:space="0" w:color="auto"/>
                              </w:divBdr>
                              <w:divsChild>
                                <w:div w:id="1937444672">
                                  <w:marLeft w:val="0"/>
                                  <w:marRight w:val="0"/>
                                  <w:marTop w:val="0"/>
                                  <w:marBottom w:val="0"/>
                                  <w:divBdr>
                                    <w:top w:val="none" w:sz="0" w:space="0" w:color="auto"/>
                                    <w:left w:val="none" w:sz="0" w:space="0" w:color="auto"/>
                                    <w:bottom w:val="none" w:sz="0" w:space="0" w:color="auto"/>
                                    <w:right w:val="none" w:sz="0" w:space="0" w:color="auto"/>
                                  </w:divBdr>
                                  <w:divsChild>
                                    <w:div w:id="547300110">
                                      <w:marLeft w:val="0"/>
                                      <w:marRight w:val="0"/>
                                      <w:marTop w:val="0"/>
                                      <w:marBottom w:val="0"/>
                                      <w:divBdr>
                                        <w:top w:val="none" w:sz="0" w:space="0" w:color="auto"/>
                                        <w:left w:val="none" w:sz="0" w:space="0" w:color="auto"/>
                                        <w:bottom w:val="none" w:sz="0" w:space="0" w:color="auto"/>
                                        <w:right w:val="none" w:sz="0" w:space="0" w:color="auto"/>
                                      </w:divBdr>
                                      <w:divsChild>
                                        <w:div w:id="1679966780">
                                          <w:marLeft w:val="0"/>
                                          <w:marRight w:val="0"/>
                                          <w:marTop w:val="0"/>
                                          <w:marBottom w:val="0"/>
                                          <w:divBdr>
                                            <w:top w:val="none" w:sz="0" w:space="0" w:color="auto"/>
                                            <w:left w:val="none" w:sz="0" w:space="0" w:color="auto"/>
                                            <w:bottom w:val="none" w:sz="0" w:space="0" w:color="auto"/>
                                            <w:right w:val="none" w:sz="0" w:space="0" w:color="auto"/>
                                          </w:divBdr>
                                          <w:divsChild>
                                            <w:div w:id="1316034114">
                                              <w:marLeft w:val="0"/>
                                              <w:marRight w:val="0"/>
                                              <w:marTop w:val="0"/>
                                              <w:marBottom w:val="0"/>
                                              <w:divBdr>
                                                <w:top w:val="none" w:sz="0" w:space="0" w:color="auto"/>
                                                <w:left w:val="none" w:sz="0" w:space="0" w:color="auto"/>
                                                <w:bottom w:val="none" w:sz="0" w:space="0" w:color="auto"/>
                                                <w:right w:val="none" w:sz="0" w:space="0" w:color="auto"/>
                                              </w:divBdr>
                                              <w:divsChild>
                                                <w:div w:id="1811971116">
                                                  <w:marLeft w:val="0"/>
                                                  <w:marRight w:val="0"/>
                                                  <w:marTop w:val="0"/>
                                                  <w:marBottom w:val="0"/>
                                                  <w:divBdr>
                                                    <w:top w:val="none" w:sz="0" w:space="0" w:color="auto"/>
                                                    <w:left w:val="none" w:sz="0" w:space="0" w:color="auto"/>
                                                    <w:bottom w:val="none" w:sz="0" w:space="0" w:color="auto"/>
                                                    <w:right w:val="none" w:sz="0" w:space="0" w:color="auto"/>
                                                  </w:divBdr>
                                                  <w:divsChild>
                                                    <w:div w:id="21004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801631">
      <w:bodyDiv w:val="1"/>
      <w:marLeft w:val="0"/>
      <w:marRight w:val="0"/>
      <w:marTop w:val="0"/>
      <w:marBottom w:val="0"/>
      <w:divBdr>
        <w:top w:val="none" w:sz="0" w:space="0" w:color="auto"/>
        <w:left w:val="none" w:sz="0" w:space="0" w:color="auto"/>
        <w:bottom w:val="none" w:sz="0" w:space="0" w:color="auto"/>
        <w:right w:val="none" w:sz="0" w:space="0" w:color="auto"/>
      </w:divBdr>
      <w:divsChild>
        <w:div w:id="1989507126">
          <w:marLeft w:val="0"/>
          <w:marRight w:val="0"/>
          <w:marTop w:val="0"/>
          <w:marBottom w:val="0"/>
          <w:divBdr>
            <w:top w:val="none" w:sz="0" w:space="0" w:color="auto"/>
            <w:left w:val="none" w:sz="0" w:space="0" w:color="auto"/>
            <w:bottom w:val="none" w:sz="0" w:space="0" w:color="auto"/>
            <w:right w:val="none" w:sz="0" w:space="0" w:color="auto"/>
          </w:divBdr>
          <w:divsChild>
            <w:div w:id="1024595999">
              <w:marLeft w:val="0"/>
              <w:marRight w:val="0"/>
              <w:marTop w:val="0"/>
              <w:marBottom w:val="0"/>
              <w:divBdr>
                <w:top w:val="none" w:sz="0" w:space="0" w:color="auto"/>
                <w:left w:val="none" w:sz="0" w:space="0" w:color="auto"/>
                <w:bottom w:val="none" w:sz="0" w:space="0" w:color="auto"/>
                <w:right w:val="none" w:sz="0" w:space="0" w:color="auto"/>
              </w:divBdr>
              <w:divsChild>
                <w:div w:id="820779668">
                  <w:marLeft w:val="0"/>
                  <w:marRight w:val="0"/>
                  <w:marTop w:val="0"/>
                  <w:marBottom w:val="0"/>
                  <w:divBdr>
                    <w:top w:val="none" w:sz="0" w:space="0" w:color="auto"/>
                    <w:left w:val="none" w:sz="0" w:space="0" w:color="auto"/>
                    <w:bottom w:val="none" w:sz="0" w:space="0" w:color="auto"/>
                    <w:right w:val="none" w:sz="0" w:space="0" w:color="auto"/>
                  </w:divBdr>
                  <w:divsChild>
                    <w:div w:id="1874342346">
                      <w:marLeft w:val="0"/>
                      <w:marRight w:val="0"/>
                      <w:marTop w:val="0"/>
                      <w:marBottom w:val="0"/>
                      <w:divBdr>
                        <w:top w:val="none" w:sz="0" w:space="0" w:color="auto"/>
                        <w:left w:val="none" w:sz="0" w:space="0" w:color="auto"/>
                        <w:bottom w:val="none" w:sz="0" w:space="0" w:color="auto"/>
                        <w:right w:val="none" w:sz="0" w:space="0" w:color="auto"/>
                      </w:divBdr>
                      <w:divsChild>
                        <w:div w:id="12830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393482">
      <w:bodyDiv w:val="1"/>
      <w:marLeft w:val="0"/>
      <w:marRight w:val="0"/>
      <w:marTop w:val="0"/>
      <w:marBottom w:val="0"/>
      <w:divBdr>
        <w:top w:val="none" w:sz="0" w:space="0" w:color="auto"/>
        <w:left w:val="none" w:sz="0" w:space="0" w:color="auto"/>
        <w:bottom w:val="none" w:sz="0" w:space="0" w:color="auto"/>
        <w:right w:val="none" w:sz="0" w:space="0" w:color="auto"/>
      </w:divBdr>
      <w:divsChild>
        <w:div w:id="118227876">
          <w:marLeft w:val="0"/>
          <w:marRight w:val="0"/>
          <w:marTop w:val="0"/>
          <w:marBottom w:val="0"/>
          <w:divBdr>
            <w:top w:val="none" w:sz="0" w:space="0" w:color="auto"/>
            <w:left w:val="none" w:sz="0" w:space="0" w:color="auto"/>
            <w:bottom w:val="none" w:sz="0" w:space="0" w:color="auto"/>
            <w:right w:val="none" w:sz="0" w:space="0" w:color="auto"/>
          </w:divBdr>
        </w:div>
        <w:div w:id="757293499">
          <w:marLeft w:val="0"/>
          <w:marRight w:val="0"/>
          <w:marTop w:val="0"/>
          <w:marBottom w:val="0"/>
          <w:divBdr>
            <w:top w:val="none" w:sz="0" w:space="0" w:color="auto"/>
            <w:left w:val="none" w:sz="0" w:space="0" w:color="auto"/>
            <w:bottom w:val="none" w:sz="0" w:space="0" w:color="auto"/>
            <w:right w:val="none" w:sz="0" w:space="0" w:color="auto"/>
          </w:divBdr>
          <w:divsChild>
            <w:div w:id="5929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6773">
      <w:bodyDiv w:val="1"/>
      <w:marLeft w:val="0"/>
      <w:marRight w:val="0"/>
      <w:marTop w:val="0"/>
      <w:marBottom w:val="0"/>
      <w:divBdr>
        <w:top w:val="none" w:sz="0" w:space="0" w:color="auto"/>
        <w:left w:val="none" w:sz="0" w:space="0" w:color="auto"/>
        <w:bottom w:val="none" w:sz="0" w:space="0" w:color="auto"/>
        <w:right w:val="none" w:sz="0" w:space="0" w:color="auto"/>
      </w:divBdr>
      <w:divsChild>
        <w:div w:id="24184512">
          <w:marLeft w:val="0"/>
          <w:marRight w:val="0"/>
          <w:marTop w:val="0"/>
          <w:marBottom w:val="0"/>
          <w:divBdr>
            <w:top w:val="none" w:sz="0" w:space="0" w:color="auto"/>
            <w:left w:val="none" w:sz="0" w:space="0" w:color="auto"/>
            <w:bottom w:val="none" w:sz="0" w:space="0" w:color="auto"/>
            <w:right w:val="none" w:sz="0" w:space="0" w:color="auto"/>
          </w:divBdr>
          <w:divsChild>
            <w:div w:id="1921208299">
              <w:marLeft w:val="0"/>
              <w:marRight w:val="0"/>
              <w:marTop w:val="0"/>
              <w:marBottom w:val="0"/>
              <w:divBdr>
                <w:top w:val="none" w:sz="0" w:space="0" w:color="auto"/>
                <w:left w:val="none" w:sz="0" w:space="0" w:color="auto"/>
                <w:bottom w:val="none" w:sz="0" w:space="0" w:color="auto"/>
                <w:right w:val="none" w:sz="0" w:space="0" w:color="auto"/>
              </w:divBdr>
              <w:divsChild>
                <w:div w:id="2145804077">
                  <w:marLeft w:val="0"/>
                  <w:marRight w:val="0"/>
                  <w:marTop w:val="0"/>
                  <w:marBottom w:val="0"/>
                  <w:divBdr>
                    <w:top w:val="none" w:sz="0" w:space="0" w:color="auto"/>
                    <w:left w:val="none" w:sz="0" w:space="0" w:color="auto"/>
                    <w:bottom w:val="none" w:sz="0" w:space="0" w:color="auto"/>
                    <w:right w:val="none" w:sz="0" w:space="0" w:color="auto"/>
                  </w:divBdr>
                  <w:divsChild>
                    <w:div w:id="1517771509">
                      <w:marLeft w:val="0"/>
                      <w:marRight w:val="0"/>
                      <w:marTop w:val="0"/>
                      <w:marBottom w:val="0"/>
                      <w:divBdr>
                        <w:top w:val="none" w:sz="0" w:space="0" w:color="auto"/>
                        <w:left w:val="none" w:sz="0" w:space="0" w:color="auto"/>
                        <w:bottom w:val="none" w:sz="0" w:space="0" w:color="auto"/>
                        <w:right w:val="none" w:sz="0" w:space="0" w:color="auto"/>
                      </w:divBdr>
                      <w:divsChild>
                        <w:div w:id="191455932">
                          <w:marLeft w:val="0"/>
                          <w:marRight w:val="0"/>
                          <w:marTop w:val="0"/>
                          <w:marBottom w:val="0"/>
                          <w:divBdr>
                            <w:top w:val="none" w:sz="0" w:space="0" w:color="auto"/>
                            <w:left w:val="none" w:sz="0" w:space="0" w:color="auto"/>
                            <w:bottom w:val="none" w:sz="0" w:space="0" w:color="auto"/>
                            <w:right w:val="none" w:sz="0" w:space="0" w:color="auto"/>
                          </w:divBdr>
                          <w:divsChild>
                            <w:div w:id="181238529">
                              <w:marLeft w:val="0"/>
                              <w:marRight w:val="0"/>
                              <w:marTop w:val="0"/>
                              <w:marBottom w:val="0"/>
                              <w:divBdr>
                                <w:top w:val="none" w:sz="0" w:space="0" w:color="auto"/>
                                <w:left w:val="none" w:sz="0" w:space="0" w:color="auto"/>
                                <w:bottom w:val="none" w:sz="0" w:space="0" w:color="auto"/>
                                <w:right w:val="none" w:sz="0" w:space="0" w:color="auto"/>
                              </w:divBdr>
                              <w:divsChild>
                                <w:div w:id="11686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ericanbanker.com/issues/178_29/hud-rule-renews-fair-lending-fears-1056682-1.html" TargetMode="External"/><Relationship Id="rId3" Type="http://schemas.openxmlformats.org/officeDocument/2006/relationships/styles" Target="styles.xml"/><Relationship Id="rId7" Type="http://schemas.openxmlformats.org/officeDocument/2006/relationships/hyperlink" Target="http://www.americanbanker.com/issues/179_191/supreme-court-tries-again-to-tackle-disparate-impact-1070344-1.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ericanbanker.com/bankthink/is-huds-disparate-impact-rule-unconstitutionally-vague-1071108-1.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pscanlan.com/images/Can_We_Actually_Measure_Health_Disparities.pdf" TargetMode="External"/><Relationship Id="rId4" Type="http://schemas.openxmlformats.org/officeDocument/2006/relationships/settings" Target="settings.xml"/><Relationship Id="rId9" Type="http://schemas.openxmlformats.org/officeDocument/2006/relationships/hyperlink" Target="http://jpscanlan.com/images/Federal_Reserve_Board_Letter_with_Append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F845C-ED8C-42DE-B41B-9FABEE01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Microsoft</cp:lastModifiedBy>
  <cp:revision>3</cp:revision>
  <dcterms:created xsi:type="dcterms:W3CDTF">2016-11-16T23:28:00Z</dcterms:created>
  <dcterms:modified xsi:type="dcterms:W3CDTF">2016-11-16T23:29:00Z</dcterms:modified>
</cp:coreProperties>
</file>